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Tillsynsbegäran - information om höga naturvärden och fridlysta arter i avverkningsanmälan A 12372-2023 i Storumans kommun</w:t>
      </w:r>
    </w:p>
    <w:p>
      <w:r>
        <w:t>Detta dokument behandlar höga naturvärden i avverkningsamälan A 12372-2023 i Storumans kommun. Denna avverkningsanmälan inkom 2023-03-10 och omfattar 1608,5 ha.</w:t>
      </w:r>
    </w:p>
    <w:p>
      <w:r>
        <w:t>Vi begär härmed att Skogsstyrelsen samråder med Länsstyrelsen och fattar beslut enligt miljöbalken som säkerställer att skogens höga naturvärden bevaras samt säkerställer att EU-lagstiftning efterlevs och att artskyddsbrott förhindras. Vi önskar även ta del av de ställningstaganden och beslut som myndigheterna meddelar till följd av aktuell avverkningsanmälan och föreningens inlaga (se 34 § förvaltningslagen).</w:t>
      </w:r>
    </w:p>
    <w:p>
      <w:r>
        <w:t>Nedan beskrivs fynd av naturvårdsarter och fridlysta arter som gjorts i det avverkningsanmälda området.</w:t>
      </w:r>
    </w:p>
    <w:p>
      <w:pPr>
        <w:pStyle w:val="Heading1"/>
      </w:pPr>
      <w:r>
        <w:t>Naturvårdsarter</w:t>
      </w:r>
    </w:p>
    <w:p>
      <w:r>
        <w:t>I avverkningsanmälan har följande 17 naturvårdsarter hittats: lappticka (VU), ostticka (VU), rynkskinn (VU), tajgaskinn (VU), tallbit (VU, §4), doftskinn (NT), granticka (NT), gränsticka (NT), harticka (NT), lunglav (NT), rosenticka (NT), skrovellav (NT), stjärntagging (NT), ullticka (NT), blodticka (S), trådticka (S) och vedticka (S). Av dessa är 14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mycket höga naturvärden. I Figur 1 visas en karta över det avverkningsamnälda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4335218"/>
            <wp:docPr id="1" name="Picture 1"/>
            <wp:cNvGraphicFramePr>
              <a:graphicFrameLocks noChangeAspect="1"/>
            </wp:cNvGraphicFramePr>
            <a:graphic>
              <a:graphicData uri="http://schemas.openxmlformats.org/drawingml/2006/picture">
                <pic:pic>
                  <pic:nvPicPr>
                    <pic:cNvPr id="0" name="A 12372-2023.png"/>
                    <pic:cNvPicPr/>
                  </pic:nvPicPr>
                  <pic:blipFill>
                    <a:blip r:embed="rId16"/>
                    <a:stretch>
                      <a:fillRect/>
                    </a:stretch>
                  </pic:blipFill>
                  <pic:spPr>
                    <a:xfrm>
                      <a:off x="0" y="0"/>
                      <a:ext cx="5486400" cy="4335218"/>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7263435, E 552882 i SWEREF 99 TM.</w:t>
      </w:r>
    </w:p>
    <w:p>
      <w:pPr>
        <w:pStyle w:val="Heading1"/>
      </w:pPr>
      <w:r>
        <w:t>Fridlysta arter</w:t>
      </w:r>
    </w:p>
    <w:p>
      <w:r>
        <w:t xml:space="preserve">Följande fridlysta arter har sina livsmiljöer och växtplatser i den avverkningsanmälda skogen: </w:t>
      </w:r>
    </w:p>
    <w:p>
      <w:pPr>
        <w:pStyle w:val="ListBullet"/>
      </w:pPr>
      <w:r>
        <w:t>Tallbit (VU, §4)</w:t>
      </w:r>
    </w:p>
    <w:p>
      <w:r>
        <w:br/>
        <w:t xml:space="preserve">Observera att medlemsländerna är skyldiga att agera i enlighet med EU:s fågeldirektiv där det uttryckligen står att direktivet gäller för fåglar samt för deras ägg, bon och </w:t>
      </w:r>
      <w:r>
        <w:rPr>
          <w:b/>
        </w:rPr>
        <w:t xml:space="preserve">livsmiljöer </w:t>
      </w:r>
      <w:r>
        <w:t>(artikel 1). Vidare att de åtgärder som vidtas inte får leda till en försämring av den nuvarande situationen beträffande bevarandet av de fågelarter som avses i artikel 1 (artikel 13). Fågeldirektivet är styrande för tillsynsansvariga myndigheters ärendehantering, ställningstaganden och beslutsfattande.</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2023-09-23</w:t>
      <w:br/>
      <w:br/>
    </w:r>
    <w:r>
      <w:t>Till: Skogsstyrelsen</w:t>
      <w:br/>
    </w:r>
    <w:r>
      <w:t>Kopia: Länsstyrelsen</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ED360C"/>
    <w:pPr>
      <w:spacing w:after="80" w:line="240" w:lineRule="auto"/>
    </w:pPr>
    <w:rPr>
      <w:bCs/>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